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center"/>
        <w:rPr>
          <w:rFonts w:hint="eastAsia" w:ascii="方正小标宋简体" w:hAnsi="STZhongsong" w:eastAsia="方正小标宋简体"/>
          <w:sz w:val="36"/>
          <w:szCs w:val="36"/>
        </w:rPr>
      </w:pPr>
      <w:r>
        <w:rPr>
          <w:rFonts w:hint="eastAsia" w:ascii="方正小标宋简体" w:hAnsi="STZhongsong" w:eastAsia="方正小标宋简体"/>
          <w:sz w:val="36"/>
          <w:szCs w:val="36"/>
        </w:rPr>
        <w:t>2020年度全国教育科学规划国家重大招标和</w:t>
      </w:r>
    </w:p>
    <w:p>
      <w:pPr>
        <w:spacing w:line="540" w:lineRule="exact"/>
        <w:jc w:val="center"/>
        <w:rPr>
          <w:rFonts w:ascii="方正小标宋简体" w:hAnsi="STZhongsong" w:eastAsia="方正小标宋简体"/>
          <w:sz w:val="36"/>
          <w:szCs w:val="36"/>
        </w:rPr>
      </w:pPr>
      <w:r>
        <w:rPr>
          <w:rFonts w:hint="eastAsia" w:ascii="方正小标宋简体" w:hAnsi="STZhongsong" w:eastAsia="方正小标宋简体"/>
          <w:sz w:val="36"/>
          <w:szCs w:val="36"/>
        </w:rPr>
        <w:t>重点课题指南</w:t>
      </w:r>
    </w:p>
    <w:p>
      <w:pPr>
        <w:spacing w:before="156" w:beforeLines="50" w:after="156" w:afterLines="50" w:line="600" w:lineRule="exact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重大招标课题</w:t>
      </w:r>
    </w:p>
    <w:p>
      <w:pPr>
        <w:spacing w:before="156" w:beforeLines="50" w:after="156" w:afterLines="50" w:line="600" w:lineRule="exact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 xml:space="preserve">1. </w:t>
      </w:r>
      <w:r>
        <w:rPr>
          <w:rFonts w:hint="eastAsia" w:ascii="仿宋_GB2312" w:eastAsia="仿宋_GB2312"/>
          <w:sz w:val="32"/>
          <w:szCs w:val="32"/>
        </w:rPr>
        <w:t>中国特色社会主义教育制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度优势及转化为治理效能的实现路径研究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2.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新时代爱国主义教育长效机制研究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3.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职业教育类型特征及其与普通教育“双轨制”“双通制”体系构建研究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4.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新时代提升中国参与全球教育治理的能力及策略研究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5.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教育现代化背景下学生美育评价研究</w:t>
      </w:r>
    </w:p>
    <w:p>
      <w:pPr>
        <w:spacing w:before="156" w:beforeLines="50" w:after="156" w:afterLines="50" w:line="600" w:lineRule="exact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重点课题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6.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完善党对教育工作全面领导的制度研究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7.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我国教育现代化发展的战略布局与推进策略研究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8.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新时代提高教师地位的政策体系研究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9.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学生信息素养的内涵、标准与评价体系研究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10.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生均公用经费标准与经济社会发展关系研究</w:t>
      </w:r>
    </w:p>
    <w:p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 xml:space="preserve">1. </w:t>
      </w:r>
      <w:r>
        <w:rPr>
          <w:rFonts w:hint="eastAsia" w:ascii="仿宋_GB2312" w:eastAsia="仿宋_GB2312"/>
          <w:sz w:val="32"/>
          <w:szCs w:val="32"/>
        </w:rPr>
        <w:t>新型高水平民办大学的制度创新与政策保障研究</w:t>
      </w:r>
    </w:p>
    <w:p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1</w:t>
      </w:r>
      <w:r>
        <w:rPr>
          <w:rFonts w:ascii="仿宋_GB2312" w:eastAsia="仿宋_GB2312"/>
          <w:sz w:val="32"/>
          <w:szCs w:val="32"/>
        </w:rPr>
        <w:t xml:space="preserve">2. </w:t>
      </w:r>
      <w:r>
        <w:rPr>
          <w:rFonts w:hint="eastAsia" w:ascii="仿宋_GB2312" w:eastAsia="仿宋_GB2312"/>
          <w:sz w:val="32"/>
          <w:szCs w:val="32"/>
        </w:rPr>
        <w:t>构建与教育治理现代化相匹配的教育法律制度体系研究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 xml:space="preserve">3. </w:t>
      </w:r>
      <w:r>
        <w:rPr>
          <w:rFonts w:hint="eastAsia" w:ascii="仿宋_GB2312" w:eastAsia="仿宋_GB2312"/>
          <w:sz w:val="32"/>
          <w:szCs w:val="32"/>
        </w:rPr>
        <w:t>把制度自信教育融入国民教育全过程的实践路径研究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1</w:t>
      </w:r>
      <w:r>
        <w:rPr>
          <w:rFonts w:ascii="仿宋_GB2312" w:eastAsia="仿宋_GB2312"/>
          <w:sz w:val="32"/>
          <w:szCs w:val="32"/>
        </w:rPr>
        <w:t xml:space="preserve">4. </w:t>
      </w:r>
      <w:r>
        <w:rPr>
          <w:rFonts w:hint="eastAsia" w:ascii="仿宋_GB2312" w:eastAsia="仿宋_GB2312"/>
          <w:sz w:val="32"/>
          <w:szCs w:val="32"/>
        </w:rPr>
        <w:t>促进教育治理能力提升的教育评价制度改革研究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 xml:space="preserve">15. </w:t>
      </w:r>
      <w:r>
        <w:rPr>
          <w:rFonts w:hint="eastAsia" w:ascii="仿宋_GB2312" w:eastAsia="仿宋_GB2312"/>
          <w:sz w:val="32"/>
          <w:szCs w:val="32"/>
        </w:rPr>
        <w:t>我国学前教育可持续发展的路径与对策研究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1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. 新时代“五育”融合实践路径与评价改革研究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1</w:t>
      </w:r>
      <w:r>
        <w:rPr>
          <w:rFonts w:ascii="仿宋_GB2312" w:eastAsia="仿宋_GB2312"/>
          <w:sz w:val="32"/>
          <w:szCs w:val="32"/>
        </w:rPr>
        <w:t xml:space="preserve">7. </w:t>
      </w:r>
      <w:r>
        <w:rPr>
          <w:rFonts w:hint="eastAsia" w:ascii="仿宋_GB2312" w:eastAsia="仿宋_GB2312"/>
          <w:sz w:val="32"/>
          <w:szCs w:val="32"/>
        </w:rPr>
        <w:t>适应新课程改革和新高考改革的普通高中育人方式变革研究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1</w:t>
      </w:r>
      <w:r>
        <w:rPr>
          <w:rFonts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</w:rPr>
        <w:t>. 中西部地区推进高考综合改革研究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1</w:t>
      </w:r>
      <w:r>
        <w:rPr>
          <w:rFonts w:ascii="仿宋_GB2312" w:eastAsia="仿宋_GB2312"/>
          <w:sz w:val="32"/>
          <w:szCs w:val="32"/>
        </w:rPr>
        <w:t>9</w:t>
      </w:r>
      <w:r>
        <w:rPr>
          <w:rFonts w:hint="eastAsia" w:ascii="仿宋_GB2312" w:eastAsia="仿宋_GB2312"/>
          <w:sz w:val="32"/>
          <w:szCs w:val="32"/>
        </w:rPr>
        <w:t>. “十四五”期间我国高等教育发展目标与推进策略研究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</w:rPr>
        <w:t>. 高校服务国家重大战略的实现路径研究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>21</w:t>
      </w:r>
      <w:r>
        <w:rPr>
          <w:rFonts w:hint="eastAsia" w:ascii="仿宋_GB2312" w:eastAsia="仿宋_GB2312"/>
          <w:sz w:val="32"/>
          <w:szCs w:val="32"/>
        </w:rPr>
        <w:t>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面向2035中国教育对外开放战略及推进策略研究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>22</w:t>
      </w:r>
      <w:r>
        <w:rPr>
          <w:rFonts w:hint="eastAsia" w:ascii="仿宋_GB2312" w:eastAsia="仿宋_GB2312"/>
          <w:sz w:val="32"/>
          <w:szCs w:val="32"/>
        </w:rPr>
        <w:t>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粤港澳大湾区教育一体化发展的问题与制度创新研究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>23</w:t>
      </w:r>
      <w:r>
        <w:rPr>
          <w:rFonts w:hint="eastAsia" w:ascii="仿宋_GB2312" w:eastAsia="仿宋_GB2312"/>
          <w:sz w:val="32"/>
          <w:szCs w:val="32"/>
        </w:rPr>
        <w:t>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新时代民办教育发展战略和治理创新研究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>24</w:t>
      </w:r>
      <w:r>
        <w:rPr>
          <w:rFonts w:hint="eastAsia" w:ascii="仿宋_GB2312" w:eastAsia="仿宋_GB2312"/>
          <w:sz w:val="32"/>
          <w:szCs w:val="32"/>
        </w:rPr>
        <w:t>.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民族地区国家通用语言文字普及攻坚研究</w:t>
      </w:r>
    </w:p>
    <w:p>
      <w:pPr>
        <w:spacing w:line="540" w:lineRule="exact"/>
        <w:rPr>
          <w:rFonts w:ascii="STZhongsong" w:hAnsi="STZhongsong" w:eastAsia="STZhongsong"/>
          <w:b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/>
          <w:sz w:val="32"/>
          <w:szCs w:val="32"/>
        </w:rPr>
        <w:t>25</w:t>
      </w:r>
      <w:r>
        <w:rPr>
          <w:rFonts w:hint="eastAsia" w:ascii="仿宋_GB2312" w:eastAsia="仿宋_GB2312"/>
          <w:sz w:val="32"/>
          <w:szCs w:val="32"/>
        </w:rPr>
        <w:t>. 学生身体素质提升的有效路径研究</w:t>
      </w:r>
    </w:p>
    <w:p>
      <w:pPr>
        <w:spacing w:line="540" w:lineRule="exact"/>
        <w:rPr>
          <w:rFonts w:ascii="STZhongsong" w:hAnsi="STZhongsong" w:eastAsia="STZhongsong"/>
          <w:b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STZhongsong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48C"/>
    <w:rsid w:val="009E648C"/>
    <w:rsid w:val="00DC5D99"/>
    <w:rsid w:val="00ED0CFD"/>
    <w:rsid w:val="3F384A8A"/>
    <w:rsid w:val="67524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nhideWhenUsed="0" w:uiPriority="99" w:semiHidden="0" w:name="Table Professional"/>
    <w:lsdException w:uiPriority="99" w:name="Table Subtle 1"/>
    <w:lsdException w:uiPriority="99" w:name="Table Subtle 2"/>
    <w:lsdException w:unhideWhenUsed="0" w:uiPriority="99" w:semiHidden="0" w:name="Table Web 1"/>
    <w:lsdException w:unhideWhenUsed="0" w:uiPriority="99" w:semiHidden="0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114</Words>
  <Characters>651</Characters>
  <Lines>5</Lines>
  <Paragraphs>1</Paragraphs>
  <TotalTime>0</TotalTime>
  <ScaleCrop>false</ScaleCrop>
  <LinksUpToDate>false</LinksUpToDate>
  <CharactersWithSpaces>764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2020-02-10T01:07:00Z</dcterms:created>
  <dc:creator>xmz</dc:creator>
  <cp:lastModifiedBy>Administrator</cp:lastModifiedBy>
  <dcterms:modified xsi:type="dcterms:W3CDTF">2020-02-11T04:29:55Z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